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大标宋简体" w:hAnsi="Calibri" w:eastAsia="方正大标宋简体" w:cs="Calibri"/>
          <w:color w:val="FF0000"/>
          <w:spacing w:val="120"/>
          <w:w w:val="66"/>
          <w:sz w:val="116"/>
          <w:szCs w:val="116"/>
        </w:rPr>
      </w:pPr>
      <w:r>
        <w:rPr>
          <w:rFonts w:hint="eastAsia" w:ascii="方正大标宋简体" w:hAnsi="Calibri" w:eastAsia="方正大标宋简体" w:cs="Calibri"/>
          <w:color w:val="FF0000"/>
          <w:spacing w:val="120"/>
          <w:w w:val="66"/>
          <w:sz w:val="116"/>
          <w:szCs w:val="116"/>
        </w:rPr>
        <w:t>济宁市电化教育馆</w:t>
      </w:r>
    </w:p>
    <w:p>
      <w:pPr>
        <w:spacing w:line="560" w:lineRule="exact"/>
        <w:rPr>
          <w:rFonts w:ascii="仿宋_GB2312" w:hAnsi="仿宋_GB2312" w:eastAsia="仿宋_GB2312" w:cs="Times New Roman"/>
          <w:b/>
          <w:bCs/>
          <w:kern w:val="0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106045</wp:posOffset>
                </wp:positionV>
                <wp:extent cx="5798185" cy="1460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98185" cy="1460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top:8.35pt;height:1.15pt;width:456.55pt;mso-position-horizontal:center;z-index:251659264;mso-width-relative:page;mso-height-relative:page;" filled="f" stroked="t" coordsize="21600,21600" o:gfxdata="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rc7vS0wAAAAYBAAAPAAAAAAAAAAEAIAAAACIAAABkcnMvZG93bnJl&#10;di54bWxQSwECFAAUAAAACACHTuJAmp14YAICAADzAwAADgAAAAAAAAABACAAAAAiAQAAZHJzL2Uy&#10;b0RvYy54bWxQSwUGAAAAAAYABgBZAQAAlgUAAAAA&#10;">
                <v:fill on="f" focussize="0,0"/>
                <v:stroke weight="2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widowControl/>
        <w:spacing w:before="156" w:beforeLines="50" w:line="600" w:lineRule="exact"/>
        <w:jc w:val="center"/>
        <w:rPr>
          <w:rFonts w:ascii="仿宋_GB2312" w:hAnsi="宋体" w:eastAsia="仿宋_GB2312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济教馆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函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〔</w:t>
      </w:r>
      <w:r>
        <w:rPr>
          <w:rFonts w:ascii="Times New Roman" w:hAnsi="Times New Roman" w:eastAsia="仿宋_GB2312" w:cs="Times New Roman"/>
          <w:b/>
          <w:bCs/>
          <w:color w:val="000000"/>
          <w:sz w:val="32"/>
          <w:szCs w:val="32"/>
          <w:shd w:val="clear" w:color="auto" w:fill="FFFFFF"/>
        </w:rPr>
        <w:t>20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20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〕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13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号</w:t>
      </w:r>
    </w:p>
    <w:p>
      <w:pPr>
        <w:spacing w:line="580" w:lineRule="exact"/>
        <w:jc w:val="both"/>
        <w:rPr>
          <w:rFonts w:ascii="方正小标宋简体" w:hAnsi="黑体" w:eastAsia="方正小标宋简体" w:cs="Times New Roman"/>
          <w:b/>
          <w:bCs/>
          <w:color w:val="000000"/>
          <w:sz w:val="44"/>
          <w:szCs w:val="44"/>
        </w:rPr>
      </w:pPr>
    </w:p>
    <w:p>
      <w:pPr>
        <w:spacing w:line="580" w:lineRule="exact"/>
        <w:jc w:val="center"/>
        <w:rPr>
          <w:rFonts w:eastAsia="方正小标宋简体" w:cs="方正小标宋简体" w:asciiTheme="minorHAnsi" w:hAnsiTheme="minorHAnsi"/>
          <w:b/>
          <w:bCs/>
          <w:color w:val="000000"/>
          <w:sz w:val="44"/>
          <w:szCs w:val="44"/>
        </w:rPr>
      </w:pPr>
      <w:r>
        <w:rPr>
          <w:rFonts w:hint="eastAsia" w:ascii="方正小标宋简体" w:hAnsi="黑体" w:eastAsia="方正小标宋简体" w:cs="方正小标宋简体"/>
          <w:b/>
          <w:bCs/>
          <w:color w:val="000000"/>
          <w:sz w:val="44"/>
          <w:szCs w:val="44"/>
        </w:rPr>
        <w:t>关于对申报“济宁市</w:t>
      </w:r>
      <w:r>
        <w:rPr>
          <w:rFonts w:hint="eastAsia" w:ascii="方正小标宋简体" w:hAnsi="黑体" w:eastAsia="方正小标宋简体" w:cs="方正小标宋简体"/>
          <w:b/>
          <w:bCs/>
          <w:color w:val="000000"/>
          <w:sz w:val="44"/>
          <w:szCs w:val="44"/>
          <w:lang w:eastAsia="zh-CN"/>
        </w:rPr>
        <w:t>第二批</w:t>
      </w:r>
      <w:r>
        <w:rPr>
          <w:rFonts w:hint="eastAsia" w:ascii="方正小标宋简体" w:hAnsi="黑体" w:eastAsia="方正小标宋简体" w:cs="方正小标宋简体"/>
          <w:b/>
          <w:bCs/>
          <w:color w:val="000000"/>
          <w:sz w:val="44"/>
          <w:szCs w:val="44"/>
        </w:rPr>
        <w:t>中小学创客空间示范校”学校进行评估验收的通知</w:t>
      </w:r>
    </w:p>
    <w:p>
      <w:pPr>
        <w:spacing w:line="580" w:lineRule="exact"/>
        <w:rPr>
          <w:rFonts w:ascii="仿宋_GB2312" w:hAnsi="宋体" w:eastAsia="仿宋_GB2312" w:cs="Times New Roman"/>
          <w:b/>
          <w:bCs/>
          <w:color w:val="000000"/>
          <w:kern w:val="0"/>
          <w:sz w:val="32"/>
          <w:szCs w:val="32"/>
        </w:rPr>
      </w:pPr>
    </w:p>
    <w:p>
      <w:pPr>
        <w:spacing w:line="580" w:lineRule="exact"/>
        <w:rPr>
          <w:rFonts w:ascii="仿宋_GB2312" w:hAnsi="宋体" w:eastAsia="仿宋_GB2312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各县市区教育局电教站，济宁高新区、太白湖新区、济宁经济技术开发区社会事业发展局电教科，市直各学校：</w:t>
      </w:r>
    </w:p>
    <w:p>
      <w:pPr>
        <w:widowControl/>
        <w:spacing w:before="156" w:beforeLines="50" w:line="600" w:lineRule="exact"/>
        <w:ind w:firstLine="643" w:firstLineChars="200"/>
        <w:jc w:val="left"/>
        <w:rPr>
          <w:rFonts w:ascii="仿宋_GB2312" w:hAnsi="宋体" w:eastAsia="仿宋_GB2312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eastAsia="zh-CN"/>
        </w:rPr>
        <w:t>依据《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关于申报济宁市第二批中小学创客空间示范校的通知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eastAsia="zh-CN"/>
        </w:rPr>
        <w:t>》（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济教馆字〔</w:t>
      </w:r>
      <w:r>
        <w:rPr>
          <w:rFonts w:ascii="Times New Roman" w:hAnsi="Times New Roman" w:eastAsia="仿宋_GB2312" w:cs="Times New Roman"/>
          <w:b/>
          <w:bCs/>
          <w:color w:val="000000"/>
          <w:sz w:val="32"/>
          <w:szCs w:val="32"/>
          <w:shd w:val="clear" w:color="auto" w:fill="FFFFFF"/>
        </w:rPr>
        <w:t>20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shd w:val="clear" w:color="auto" w:fill="FFFFFF"/>
        </w:rPr>
        <w:t>20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〕2号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文件精神，加快我市创客空间示范校建设，经研究，决定对申报“济宁市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eastAsia="zh-CN"/>
        </w:rPr>
        <w:t>第二批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中小学创客空间示范校”学校进行评估验收，现将有关事项通知如下。</w:t>
      </w:r>
    </w:p>
    <w:p>
      <w:pPr>
        <w:spacing w:line="580" w:lineRule="exact"/>
        <w:ind w:firstLine="643" w:firstLineChars="200"/>
        <w:jc w:val="left"/>
        <w:rPr>
          <w:rFonts w:ascii="黑体" w:hAnsi="宋体" w:eastAsia="黑体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黑体" w:hAnsi="宋体" w:eastAsia="黑体" w:cs="黑体"/>
          <w:b/>
          <w:bCs/>
          <w:color w:val="000000"/>
          <w:kern w:val="0"/>
          <w:sz w:val="32"/>
          <w:szCs w:val="32"/>
        </w:rPr>
        <w:t>一、评估验收依据</w:t>
      </w:r>
    </w:p>
    <w:p>
      <w:pPr>
        <w:spacing w:line="580" w:lineRule="exact"/>
        <w:ind w:firstLine="630" w:firstLineChars="196"/>
        <w:jc w:val="left"/>
        <w:rPr>
          <w:rFonts w:ascii="仿宋_GB2312" w:hAnsi="宋体" w:eastAsia="仿宋_GB2312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eastAsia="zh-CN"/>
        </w:rPr>
        <w:t>依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据《“济宁市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eastAsia="zh-CN"/>
        </w:rPr>
        <w:t>第二批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中小学创客空间示范校”评估验收细则》（以下简称《评估验收细则》）（见附件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）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eastAsia="zh-CN"/>
        </w:rPr>
        <w:t>进行评估验收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。</w:t>
      </w:r>
    </w:p>
    <w:p>
      <w:pPr>
        <w:spacing w:line="580" w:lineRule="exact"/>
        <w:ind w:firstLine="643" w:firstLineChars="200"/>
        <w:jc w:val="left"/>
        <w:rPr>
          <w:rFonts w:ascii="黑体" w:hAnsi="宋体" w:eastAsia="黑体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黑体" w:hAnsi="宋体" w:eastAsia="黑体" w:cs="黑体"/>
          <w:b/>
          <w:bCs/>
          <w:color w:val="000000"/>
          <w:kern w:val="0"/>
          <w:sz w:val="32"/>
          <w:szCs w:val="32"/>
        </w:rPr>
        <w:t>二、评估</w:t>
      </w:r>
      <w:r>
        <w:rPr>
          <w:rFonts w:hint="eastAsia" w:ascii="黑体" w:hAnsi="宋体" w:eastAsia="黑体" w:cs="黑体"/>
          <w:b/>
          <w:bCs/>
          <w:color w:val="000000"/>
          <w:kern w:val="0"/>
          <w:sz w:val="32"/>
          <w:szCs w:val="32"/>
          <w:lang w:eastAsia="zh-CN"/>
        </w:rPr>
        <w:t>验收</w:t>
      </w:r>
      <w:r>
        <w:rPr>
          <w:rFonts w:hint="eastAsia" w:ascii="黑体" w:hAnsi="宋体" w:eastAsia="黑体" w:cs="黑体"/>
          <w:b/>
          <w:bCs/>
          <w:color w:val="000000"/>
          <w:kern w:val="0"/>
          <w:sz w:val="32"/>
          <w:szCs w:val="32"/>
        </w:rPr>
        <w:t>程序</w:t>
      </w:r>
    </w:p>
    <w:p>
      <w:pPr>
        <w:spacing w:line="580" w:lineRule="exact"/>
        <w:ind w:firstLine="643" w:firstLineChars="200"/>
        <w:jc w:val="left"/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楷体_GB2312" w:hAnsi="宋体" w:eastAsia="楷体_GB2312" w:cs="楷体_GB2312"/>
          <w:b/>
          <w:bCs/>
          <w:color w:val="000000"/>
          <w:kern w:val="0"/>
          <w:sz w:val="32"/>
          <w:szCs w:val="32"/>
        </w:rPr>
        <w:t>（一）</w:t>
      </w:r>
      <w:r>
        <w:rPr>
          <w:rFonts w:hint="eastAsia" w:ascii="楷体_GB2312" w:hAnsi="宋体" w:eastAsia="楷体_GB2312" w:cs="楷体_GB2312"/>
          <w:b/>
          <w:bCs/>
          <w:color w:val="000000"/>
          <w:kern w:val="0"/>
          <w:sz w:val="32"/>
          <w:szCs w:val="32"/>
          <w:lang w:eastAsia="zh-CN"/>
        </w:rPr>
        <w:t>县区</w:t>
      </w:r>
      <w:r>
        <w:rPr>
          <w:rFonts w:hint="eastAsia" w:ascii="楷体_GB2312" w:hAnsi="宋体" w:eastAsia="楷体_GB2312" w:cs="楷体_GB2312"/>
          <w:b/>
          <w:bCs/>
          <w:color w:val="000000"/>
          <w:kern w:val="0"/>
          <w:sz w:val="32"/>
          <w:szCs w:val="32"/>
        </w:rPr>
        <w:t>初评。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县市区于</w:t>
      </w:r>
      <w:r>
        <w:rPr>
          <w:rFonts w:ascii="Times New Roman" w:hAnsi="Times New Roman" w:eastAsia="仿宋_GB2312" w:cs="Times New Roman"/>
          <w:b/>
          <w:bCs/>
          <w:color w:val="000000"/>
          <w:sz w:val="32"/>
          <w:szCs w:val="32"/>
          <w:shd w:val="clear" w:color="auto" w:fill="FFFFFF"/>
        </w:rPr>
        <w:t>11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月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shd w:val="clear" w:color="auto" w:fill="FFFFFF"/>
        </w:rPr>
        <w:t>日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前完成对申报学校创建情况初评，并将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eastAsia="zh-CN"/>
        </w:rPr>
        <w:t>初评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结果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eastAsia="zh-CN"/>
        </w:rPr>
        <w:t>汇总（见附件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eastAsia="zh-CN"/>
        </w:rPr>
        <w:t>）上报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市电教馆。</w:t>
      </w:r>
    </w:p>
    <w:p>
      <w:pPr>
        <w:spacing w:line="580" w:lineRule="exact"/>
        <w:ind w:firstLine="643" w:firstLineChars="200"/>
        <w:jc w:val="left"/>
        <w:rPr>
          <w:rFonts w:ascii="仿宋_GB2312" w:hAnsi="宋体" w:eastAsia="仿宋_GB2312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楷体_GB2312" w:hAnsi="宋体" w:eastAsia="楷体_GB2312" w:cs="楷体_GB2312"/>
          <w:b/>
          <w:bCs/>
          <w:color w:val="000000"/>
          <w:kern w:val="0"/>
          <w:sz w:val="32"/>
          <w:szCs w:val="32"/>
        </w:rPr>
        <w:t>（</w:t>
      </w:r>
      <w:r>
        <w:rPr>
          <w:rFonts w:hint="eastAsia" w:ascii="楷体_GB2312" w:hAnsi="宋体" w:eastAsia="楷体_GB2312" w:cs="楷体_GB2312"/>
          <w:b/>
          <w:bCs/>
          <w:color w:val="000000"/>
          <w:kern w:val="0"/>
          <w:sz w:val="32"/>
          <w:szCs w:val="32"/>
          <w:lang w:eastAsia="zh-CN"/>
        </w:rPr>
        <w:t>二</w:t>
      </w:r>
      <w:r>
        <w:rPr>
          <w:rFonts w:hint="eastAsia" w:ascii="楷体_GB2312" w:hAnsi="宋体" w:eastAsia="楷体_GB2312" w:cs="楷体_GB2312"/>
          <w:b/>
          <w:bCs/>
          <w:color w:val="000000"/>
          <w:kern w:val="0"/>
          <w:sz w:val="32"/>
          <w:szCs w:val="32"/>
        </w:rPr>
        <w:t>）</w:t>
      </w:r>
      <w:r>
        <w:rPr>
          <w:rFonts w:hint="eastAsia" w:ascii="楷体_GB2312" w:hAnsi="宋体" w:eastAsia="楷体_GB2312" w:cs="楷体_GB2312"/>
          <w:b/>
          <w:bCs/>
          <w:color w:val="000000"/>
          <w:kern w:val="0"/>
          <w:sz w:val="32"/>
          <w:szCs w:val="32"/>
          <w:lang w:eastAsia="zh-CN"/>
        </w:rPr>
        <w:t>市级</w:t>
      </w:r>
      <w:r>
        <w:rPr>
          <w:rFonts w:hint="eastAsia" w:ascii="楷体_GB2312" w:hAnsi="宋体" w:eastAsia="楷体_GB2312" w:cs="楷体_GB2312"/>
          <w:b/>
          <w:bCs/>
          <w:color w:val="000000"/>
          <w:kern w:val="0"/>
          <w:sz w:val="32"/>
          <w:szCs w:val="32"/>
        </w:rPr>
        <w:t>评估</w:t>
      </w:r>
      <w:r>
        <w:rPr>
          <w:rFonts w:hint="eastAsia" w:ascii="楷体_GB2312" w:hAnsi="宋体" w:eastAsia="楷体_GB2312" w:cs="楷体_GB2312"/>
          <w:b/>
          <w:bCs/>
          <w:color w:val="000000"/>
          <w:kern w:val="0"/>
          <w:sz w:val="32"/>
          <w:szCs w:val="32"/>
          <w:lang w:eastAsia="zh-CN"/>
        </w:rPr>
        <w:t>验收</w:t>
      </w:r>
      <w:r>
        <w:rPr>
          <w:rFonts w:hint="eastAsia" w:ascii="楷体_GB2312" w:hAnsi="宋体" w:eastAsia="楷体_GB2312" w:cs="楷体_GB2312"/>
          <w:b/>
          <w:bCs/>
          <w:color w:val="000000"/>
          <w:kern w:val="0"/>
          <w:sz w:val="32"/>
          <w:szCs w:val="32"/>
        </w:rPr>
        <w:t>。</w:t>
      </w:r>
      <w:r>
        <w:rPr>
          <w:rFonts w:hint="eastAsia" w:ascii="楷体_GB2312" w:hAnsi="宋体" w:eastAsia="楷体_GB2312" w:cs="楷体_GB2312"/>
          <w:b/>
          <w:bCs/>
          <w:color w:val="000000"/>
          <w:kern w:val="0"/>
          <w:sz w:val="32"/>
          <w:szCs w:val="32"/>
          <w:lang w:val="en-US" w:eastAsia="zh-CN"/>
        </w:rPr>
        <w:t>11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月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eastAsia="zh-CN"/>
        </w:rPr>
        <w:t>中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旬，市电教馆将抽调专业人员组成评估验收组，对创建学校进行评估验收。评估验收具体时间另行通知。</w:t>
      </w:r>
    </w:p>
    <w:p>
      <w:pPr>
        <w:spacing w:line="580" w:lineRule="exact"/>
        <w:ind w:firstLine="643" w:firstLineChars="200"/>
        <w:jc w:val="left"/>
        <w:rPr>
          <w:rFonts w:ascii="黑体" w:hAnsi="宋体" w:eastAsia="黑体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黑体" w:hAnsi="宋体" w:eastAsia="黑体" w:cs="黑体"/>
          <w:b/>
          <w:bCs/>
          <w:color w:val="000000"/>
          <w:kern w:val="0"/>
          <w:sz w:val="32"/>
          <w:szCs w:val="32"/>
        </w:rPr>
        <w:t>三、评估</w:t>
      </w:r>
      <w:r>
        <w:rPr>
          <w:rFonts w:hint="eastAsia" w:ascii="黑体" w:hAnsi="宋体" w:eastAsia="黑体" w:cs="黑体"/>
          <w:b/>
          <w:bCs/>
          <w:color w:val="000000"/>
          <w:kern w:val="0"/>
          <w:sz w:val="32"/>
          <w:szCs w:val="32"/>
          <w:lang w:eastAsia="zh-CN"/>
        </w:rPr>
        <w:t>验收</w:t>
      </w:r>
      <w:r>
        <w:rPr>
          <w:rFonts w:hint="eastAsia" w:ascii="黑体" w:hAnsi="宋体" w:eastAsia="黑体" w:cs="黑体"/>
          <w:b/>
          <w:bCs/>
          <w:color w:val="000000"/>
          <w:kern w:val="0"/>
          <w:sz w:val="32"/>
          <w:szCs w:val="32"/>
        </w:rPr>
        <w:t>办法</w:t>
      </w:r>
    </w:p>
    <w:p>
      <w:pPr>
        <w:spacing w:line="580" w:lineRule="exact"/>
        <w:ind w:firstLine="643" w:firstLineChars="200"/>
        <w:jc w:val="left"/>
        <w:rPr>
          <w:rFonts w:ascii="仿宋_GB2312" w:hAnsi="宋体" w:eastAsia="仿宋_GB2312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eastAsia="zh-CN"/>
        </w:rPr>
        <w:t>依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据《“济宁市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eastAsia="zh-CN"/>
        </w:rPr>
        <w:t>第二批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中小学创客空间示范校”评估验收细则》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通过听取汇报、查阅资料、座谈、现场查看等多种方式进行。</w:t>
      </w:r>
    </w:p>
    <w:p>
      <w:pPr>
        <w:spacing w:line="580" w:lineRule="exact"/>
        <w:ind w:firstLine="643" w:firstLineChars="200"/>
        <w:jc w:val="left"/>
        <w:rPr>
          <w:rFonts w:ascii="仿宋_GB2312" w:hAnsi="宋体" w:eastAsia="仿宋_GB2312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黑体" w:hAnsi="宋体" w:eastAsia="黑体" w:cs="黑体"/>
          <w:b/>
          <w:bCs/>
          <w:color w:val="000000"/>
          <w:kern w:val="0"/>
          <w:sz w:val="32"/>
          <w:szCs w:val="32"/>
        </w:rPr>
        <w:t>四、评估</w:t>
      </w:r>
      <w:r>
        <w:rPr>
          <w:rFonts w:hint="eastAsia" w:ascii="黑体" w:hAnsi="宋体" w:eastAsia="黑体" w:cs="黑体"/>
          <w:b/>
          <w:bCs/>
          <w:color w:val="000000"/>
          <w:kern w:val="0"/>
          <w:sz w:val="32"/>
          <w:szCs w:val="32"/>
          <w:lang w:eastAsia="zh-CN"/>
        </w:rPr>
        <w:t>验收</w:t>
      </w:r>
      <w:r>
        <w:rPr>
          <w:rFonts w:hint="eastAsia" w:ascii="黑体" w:hAnsi="宋体" w:eastAsia="黑体" w:cs="黑体"/>
          <w:b/>
          <w:bCs/>
          <w:color w:val="000000"/>
          <w:kern w:val="0"/>
          <w:sz w:val="32"/>
          <w:szCs w:val="32"/>
        </w:rPr>
        <w:t>确认</w:t>
      </w:r>
    </w:p>
    <w:p>
      <w:pPr>
        <w:spacing w:line="580" w:lineRule="exact"/>
        <w:ind w:firstLine="643" w:firstLineChars="200"/>
        <w:jc w:val="left"/>
        <w:rPr>
          <w:rFonts w:ascii="仿宋_GB2312" w:hAnsi="宋体" w:eastAsia="仿宋_GB2312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《评估验收细则》总值</w:t>
      </w:r>
      <w:r>
        <w:rPr>
          <w:rFonts w:ascii="Times New Roman" w:hAnsi="Times New Roman" w:eastAsia="仿宋_GB2312" w:cs="Times New Roman"/>
          <w:b/>
          <w:bCs/>
          <w:color w:val="000000"/>
          <w:sz w:val="32"/>
          <w:szCs w:val="32"/>
          <w:shd w:val="clear" w:color="auto" w:fill="FFFFFF"/>
        </w:rPr>
        <w:t>100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分。评估分数在</w:t>
      </w:r>
      <w:r>
        <w:rPr>
          <w:rFonts w:ascii="Times New Roman" w:hAnsi="Times New Roman" w:eastAsia="仿宋_GB2312" w:cs="Times New Roman"/>
          <w:b/>
          <w:bCs/>
          <w:color w:val="000000"/>
          <w:sz w:val="32"/>
          <w:szCs w:val="32"/>
          <w:shd w:val="clear" w:color="auto" w:fill="FFFFFF"/>
        </w:rPr>
        <w:t>80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分以上者，认定为合格。评估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eastAsia="zh-CN"/>
        </w:rPr>
        <w:t>验收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合格的学校，授予“济宁市中小学创客空间示范校”称号。</w:t>
      </w:r>
    </w:p>
    <w:p>
      <w:pPr>
        <w:widowControl/>
        <w:shd w:val="clear" w:color="auto" w:fill="FFFFFF"/>
        <w:spacing w:after="100" w:afterAutospacing="1" w:line="580" w:lineRule="exact"/>
        <w:ind w:firstLine="630" w:firstLineChars="196"/>
        <w:jc w:val="left"/>
        <w:rPr>
          <w:rFonts w:ascii="黑体" w:hAnsi="宋体" w:eastAsia="黑体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黑体" w:hAnsi="宋体" w:eastAsia="黑体" w:cs="黑体"/>
          <w:b/>
          <w:bCs/>
          <w:color w:val="000000"/>
          <w:kern w:val="0"/>
          <w:sz w:val="32"/>
          <w:szCs w:val="32"/>
        </w:rPr>
        <w:t>五、有关要求</w:t>
      </w:r>
      <w:r>
        <w:rPr>
          <w:rFonts w:ascii="黑体" w:hAnsi="宋体" w:eastAsia="黑体" w:cs="Times New Roman"/>
          <w:b/>
          <w:bCs/>
          <w:color w:val="000000"/>
          <w:kern w:val="0"/>
          <w:sz w:val="32"/>
          <w:szCs w:val="32"/>
        </w:rPr>
        <w:br w:type="textWrapping"/>
      </w:r>
      <w:r>
        <w:rPr>
          <w:rFonts w:ascii="黑体" w:hAnsi="宋体" w:eastAsia="黑体" w:cs="黑体"/>
          <w:b/>
          <w:bCs/>
          <w:color w:val="000000"/>
          <w:kern w:val="0"/>
          <w:sz w:val="32"/>
          <w:szCs w:val="32"/>
        </w:rPr>
        <w:t xml:space="preserve">    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各县市区、市直各学校一定要高度重视创客空间示范校建设工作，要统筹安排，精心策划，把创建“中小学创客空间示范校”作为教育信息化的一项经常性工作，抓实抓好。要认真对照《评估验收细则》，做好自查，找差距、查不足，制定切实可行的工作措施，及时进行整改，确保创建活动健康有序开展。</w:t>
      </w:r>
    </w:p>
    <w:p>
      <w:pPr>
        <w:spacing w:line="580" w:lineRule="exact"/>
        <w:ind w:firstLine="643" w:firstLineChars="200"/>
        <w:jc w:val="left"/>
        <w:rPr>
          <w:rFonts w:ascii="仿宋_GB2312" w:hAnsi="宋体" w:eastAsia="仿宋_GB2312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联系人：卢庆燕。联系电话：</w:t>
      </w:r>
      <w:r>
        <w:rPr>
          <w:rFonts w:ascii="Times New Roman" w:hAnsi="Times New Roman" w:eastAsia="仿宋_GB2312" w:cs="Times New Roman"/>
          <w:b/>
          <w:bCs/>
          <w:color w:val="000000"/>
          <w:sz w:val="32"/>
          <w:szCs w:val="32"/>
          <w:shd w:val="clear" w:color="auto" w:fill="FFFFFF"/>
        </w:rPr>
        <w:t>2651665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。</w:t>
      </w:r>
    </w:p>
    <w:p>
      <w:pPr>
        <w:spacing w:line="580" w:lineRule="exact"/>
        <w:jc w:val="left"/>
        <w:rPr>
          <w:rFonts w:ascii="仿宋_GB2312" w:hAnsi="宋体" w:eastAsia="仿宋_GB2312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　　</w:t>
      </w:r>
    </w:p>
    <w:p>
      <w:pPr>
        <w:spacing w:line="580" w:lineRule="exact"/>
        <w:ind w:left="1960" w:leftChars="356" w:hanging="1212" w:hangingChars="397"/>
        <w:jc w:val="left"/>
        <w:rPr>
          <w:rFonts w:hint="eastAsia" w:ascii="Times New Roman" w:hAnsi="Times New Roman" w:eastAsia="仿宋_GB2312" w:cs="仿宋_GB2312"/>
          <w:b/>
          <w:bCs/>
          <w:color w:val="000000"/>
          <w:spacing w:val="-8"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color w:val="000000"/>
          <w:spacing w:val="-8"/>
          <w:sz w:val="32"/>
          <w:szCs w:val="32"/>
        </w:rPr>
        <w:t>附件：</w:t>
      </w:r>
    </w:p>
    <w:p>
      <w:pPr>
        <w:numPr>
          <w:ilvl w:val="0"/>
          <w:numId w:val="1"/>
        </w:numPr>
        <w:spacing w:line="580" w:lineRule="exact"/>
        <w:ind w:left="2071" w:leftChars="0" w:hanging="601" w:firstLineChars="0"/>
        <w:jc w:val="left"/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spacing w:val="-8"/>
          <w:kern w:val="0"/>
          <w:sz w:val="32"/>
          <w:szCs w:val="32"/>
        </w:rPr>
        <w:t>“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济宁市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eastAsia="zh-CN"/>
        </w:rPr>
        <w:t>第二批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中小学创客空间示范校”评估验收细则</w:t>
      </w:r>
    </w:p>
    <w:p>
      <w:pPr>
        <w:numPr>
          <w:ilvl w:val="0"/>
          <w:numId w:val="1"/>
        </w:numPr>
        <w:spacing w:line="580" w:lineRule="exact"/>
        <w:ind w:left="2071" w:leftChars="0" w:hanging="601" w:firstLineChars="0"/>
        <w:jc w:val="left"/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eastAsia="zh-CN"/>
        </w:rPr>
        <w:t>县市区初评汇总表</w:t>
      </w:r>
    </w:p>
    <w:p>
      <w:pPr>
        <w:spacing w:line="580" w:lineRule="exact"/>
        <w:ind w:left="1813" w:leftChars="259" w:hanging="1269" w:hangingChars="395"/>
        <w:jc w:val="left"/>
        <w:rPr>
          <w:rFonts w:ascii="仿宋_GB2312" w:hAnsi="宋体" w:eastAsia="仿宋_GB2312" w:cs="Times New Roman"/>
          <w:b/>
          <w:bCs/>
          <w:color w:val="000000"/>
          <w:kern w:val="0"/>
          <w:sz w:val="32"/>
          <w:szCs w:val="32"/>
        </w:rPr>
      </w:pPr>
      <w:bookmarkStart w:id="0" w:name="_GoBack"/>
      <w:bookmarkEnd w:id="0"/>
    </w:p>
    <w:p>
      <w:pPr>
        <w:spacing w:line="580" w:lineRule="exact"/>
        <w:jc w:val="left"/>
        <w:rPr>
          <w:rFonts w:ascii="仿宋_GB2312" w:hAnsi="宋体" w:eastAsia="仿宋_GB2312" w:cs="Times New Roman"/>
          <w:b/>
          <w:bCs/>
          <w:color w:val="000000"/>
          <w:kern w:val="0"/>
          <w:sz w:val="32"/>
          <w:szCs w:val="32"/>
        </w:rPr>
      </w:pPr>
    </w:p>
    <w:p>
      <w:pPr>
        <w:spacing w:line="580" w:lineRule="exact"/>
        <w:ind w:right="320"/>
        <w:jc w:val="right"/>
        <w:rPr>
          <w:rFonts w:ascii="仿宋_GB2312" w:hAnsi="宋体" w:eastAsia="仿宋_GB2312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 xml:space="preserve">        济宁市电化教育馆</w:t>
      </w:r>
    </w:p>
    <w:p>
      <w:pPr>
        <w:spacing w:line="580" w:lineRule="exact"/>
        <w:ind w:right="320"/>
        <w:jc w:val="right"/>
        <w:rPr>
          <w:rFonts w:ascii="仿宋_GB2312" w:hAnsi="宋体" w:eastAsia="仿宋_GB2312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20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/>
        </w:rPr>
        <w:t>20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10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日</w:t>
      </w:r>
    </w:p>
    <w:p>
      <w:pPr>
        <w:spacing w:line="580" w:lineRule="exact"/>
        <w:jc w:val="left"/>
        <w:rPr>
          <w:rFonts w:ascii="黑体" w:hAnsi="黑体" w:eastAsia="黑体" w:cs="Times New Roman"/>
          <w:b/>
          <w:bCs/>
          <w:sz w:val="32"/>
          <w:szCs w:val="32"/>
        </w:rPr>
      </w:pPr>
    </w:p>
    <w:p>
      <w:pPr>
        <w:spacing w:line="560" w:lineRule="exact"/>
        <w:jc w:val="left"/>
        <w:rPr>
          <w:rFonts w:ascii="黑体" w:hAnsi="黑体" w:eastAsia="黑体" w:cs="Times New Roman"/>
          <w:b/>
          <w:bCs/>
          <w:sz w:val="32"/>
          <w:szCs w:val="32"/>
        </w:rPr>
      </w:pPr>
    </w:p>
    <w:p>
      <w:pPr>
        <w:spacing w:line="560" w:lineRule="exact"/>
        <w:jc w:val="left"/>
        <w:rPr>
          <w:rFonts w:ascii="黑体" w:hAnsi="黑体" w:eastAsia="黑体" w:cs="Times New Roman"/>
          <w:b/>
          <w:bCs/>
          <w:sz w:val="32"/>
          <w:szCs w:val="32"/>
        </w:rPr>
      </w:pPr>
    </w:p>
    <w:p>
      <w:pPr>
        <w:spacing w:line="560" w:lineRule="exact"/>
        <w:jc w:val="left"/>
        <w:rPr>
          <w:rFonts w:ascii="黑体" w:hAnsi="黑体" w:eastAsia="黑体" w:cs="Times New Roman"/>
          <w:b/>
          <w:bCs/>
          <w:sz w:val="32"/>
          <w:szCs w:val="32"/>
        </w:rPr>
      </w:pPr>
    </w:p>
    <w:p>
      <w:pPr>
        <w:spacing w:line="560" w:lineRule="exact"/>
        <w:jc w:val="left"/>
        <w:rPr>
          <w:rFonts w:ascii="黑体" w:hAnsi="黑体" w:eastAsia="黑体" w:cs="Times New Roman"/>
          <w:b/>
          <w:bCs/>
          <w:sz w:val="32"/>
          <w:szCs w:val="32"/>
        </w:rPr>
      </w:pPr>
    </w:p>
    <w:p>
      <w:pPr>
        <w:spacing w:line="560" w:lineRule="exact"/>
        <w:jc w:val="left"/>
        <w:rPr>
          <w:rFonts w:ascii="黑体" w:hAnsi="黑体" w:eastAsia="黑体" w:cs="Times New Roman"/>
          <w:b/>
          <w:bCs/>
          <w:sz w:val="32"/>
          <w:szCs w:val="32"/>
        </w:rPr>
      </w:pPr>
    </w:p>
    <w:p>
      <w:pPr>
        <w:spacing w:line="560" w:lineRule="exact"/>
        <w:jc w:val="left"/>
        <w:rPr>
          <w:rFonts w:ascii="黑体" w:hAnsi="黑体" w:eastAsia="黑体" w:cs="Times New Roman"/>
          <w:b/>
          <w:bCs/>
          <w:sz w:val="32"/>
          <w:szCs w:val="32"/>
        </w:rPr>
      </w:pPr>
    </w:p>
    <w:p>
      <w:pPr>
        <w:spacing w:line="560" w:lineRule="exact"/>
        <w:jc w:val="left"/>
        <w:rPr>
          <w:rFonts w:ascii="黑体" w:hAnsi="黑体" w:eastAsia="黑体" w:cs="Times New Roman"/>
          <w:b/>
          <w:bCs/>
          <w:sz w:val="32"/>
          <w:szCs w:val="32"/>
        </w:rPr>
      </w:pPr>
    </w:p>
    <w:p>
      <w:pPr>
        <w:spacing w:line="560" w:lineRule="exact"/>
        <w:jc w:val="left"/>
        <w:rPr>
          <w:rFonts w:ascii="黑体" w:hAnsi="黑体" w:eastAsia="黑体" w:cs="Times New Roman"/>
          <w:b/>
          <w:bCs/>
          <w:sz w:val="32"/>
          <w:szCs w:val="32"/>
        </w:rPr>
      </w:pPr>
    </w:p>
    <w:p>
      <w:pPr>
        <w:spacing w:line="560" w:lineRule="exact"/>
        <w:jc w:val="left"/>
        <w:rPr>
          <w:rFonts w:ascii="黑体" w:hAnsi="黑体" w:eastAsia="黑体" w:cs="Times New Roman"/>
          <w:b/>
          <w:bCs/>
          <w:sz w:val="32"/>
          <w:szCs w:val="32"/>
        </w:rPr>
      </w:pPr>
    </w:p>
    <w:p>
      <w:pPr>
        <w:spacing w:line="560" w:lineRule="exact"/>
        <w:jc w:val="left"/>
        <w:rPr>
          <w:rFonts w:ascii="黑体" w:hAnsi="黑体" w:eastAsia="黑体" w:cs="Times New Roman"/>
          <w:b/>
          <w:bCs/>
          <w:sz w:val="32"/>
          <w:szCs w:val="32"/>
        </w:rPr>
      </w:pPr>
    </w:p>
    <w:p>
      <w:pPr>
        <w:spacing w:line="560" w:lineRule="exact"/>
        <w:jc w:val="left"/>
        <w:rPr>
          <w:rFonts w:ascii="黑体" w:hAnsi="黑体" w:eastAsia="黑体" w:cs="Times New Roman"/>
          <w:b/>
          <w:bCs/>
          <w:sz w:val="32"/>
          <w:szCs w:val="32"/>
        </w:rPr>
      </w:pPr>
    </w:p>
    <w:p>
      <w:pPr>
        <w:spacing w:line="560" w:lineRule="exact"/>
        <w:jc w:val="left"/>
        <w:rPr>
          <w:rFonts w:ascii="黑体" w:hAnsi="黑体" w:eastAsia="黑体" w:cs="Times New Roman"/>
          <w:b/>
          <w:bCs/>
          <w:sz w:val="32"/>
          <w:szCs w:val="32"/>
        </w:rPr>
      </w:pPr>
    </w:p>
    <w:p>
      <w:pPr>
        <w:spacing w:line="560" w:lineRule="exact"/>
        <w:jc w:val="left"/>
        <w:rPr>
          <w:rFonts w:ascii="黑体" w:hAnsi="黑体" w:eastAsia="黑体" w:cs="Times New Roman"/>
          <w:b/>
          <w:bCs/>
          <w:sz w:val="32"/>
          <w:szCs w:val="32"/>
        </w:rPr>
      </w:pPr>
    </w:p>
    <w:p>
      <w:pPr>
        <w:spacing w:line="560" w:lineRule="exact"/>
        <w:jc w:val="left"/>
        <w:rPr>
          <w:rFonts w:ascii="黑体" w:hAnsi="黑体" w:eastAsia="黑体" w:cs="Times New Roman"/>
          <w:b/>
          <w:bCs/>
          <w:sz w:val="32"/>
          <w:szCs w:val="32"/>
        </w:rPr>
      </w:pPr>
    </w:p>
    <w:p>
      <w:pPr>
        <w:spacing w:line="560" w:lineRule="exact"/>
        <w:jc w:val="left"/>
        <w:rPr>
          <w:rFonts w:ascii="黑体" w:hAnsi="黑体" w:eastAsia="黑体" w:cs="Times New Roman"/>
          <w:b/>
          <w:bCs/>
          <w:sz w:val="32"/>
          <w:szCs w:val="32"/>
        </w:rPr>
      </w:pPr>
    </w:p>
    <w:p>
      <w:pPr>
        <w:spacing w:line="560" w:lineRule="exact"/>
        <w:jc w:val="left"/>
        <w:rPr>
          <w:rFonts w:ascii="黑体" w:hAnsi="黑体" w:eastAsia="黑体" w:cs="Times New Roman"/>
          <w:b/>
          <w:bCs/>
          <w:sz w:val="32"/>
          <w:szCs w:val="32"/>
        </w:rPr>
      </w:pPr>
    </w:p>
    <w:p>
      <w:pPr>
        <w:spacing w:line="560" w:lineRule="exact"/>
        <w:jc w:val="left"/>
        <w:rPr>
          <w:rFonts w:ascii="黑体" w:hAnsi="黑体" w:eastAsia="黑体" w:cs="Times New Roman"/>
          <w:b/>
          <w:bCs/>
          <w:sz w:val="32"/>
          <w:szCs w:val="32"/>
        </w:rPr>
      </w:pPr>
    </w:p>
    <w:p>
      <w:pPr>
        <w:spacing w:line="560" w:lineRule="exact"/>
        <w:jc w:val="left"/>
        <w:rPr>
          <w:rFonts w:ascii="黑体" w:hAnsi="黑体" w:eastAsia="黑体" w:cs="Times New Roman"/>
          <w:b/>
          <w:bCs/>
          <w:sz w:val="32"/>
          <w:szCs w:val="32"/>
        </w:rPr>
      </w:pPr>
    </w:p>
    <w:p>
      <w:pPr>
        <w:spacing w:line="560" w:lineRule="exact"/>
        <w:jc w:val="left"/>
        <w:rPr>
          <w:rFonts w:ascii="黑体" w:hAnsi="黑体" w:eastAsia="黑体" w:cs="Times New Roman"/>
          <w:b/>
          <w:bCs/>
          <w:sz w:val="32"/>
          <w:szCs w:val="32"/>
        </w:rPr>
      </w:pPr>
    </w:p>
    <w:p>
      <w:pPr>
        <w:spacing w:line="600" w:lineRule="exact"/>
        <w:jc w:val="left"/>
        <w:rPr>
          <w:rFonts w:hint="eastAsia" w:ascii="黑体" w:hAnsi="黑体" w:eastAsia="黑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1：</w:t>
      </w:r>
    </w:p>
    <w:p>
      <w:pPr>
        <w:spacing w:before="249" w:beforeLines="80" w:after="249" w:afterLines="80" w:line="560" w:lineRule="exact"/>
        <w:ind w:left="-718" w:leftChars="-342" w:right="-687" w:rightChars="-327"/>
        <w:jc w:val="center"/>
        <w:rPr>
          <w:rFonts w:hint="eastAsia" w:ascii="方正小标宋简体" w:hAnsi="Times New Roman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Times New Roman" w:eastAsia="方正小标宋简体" w:cs="方正小标宋简体"/>
          <w:b/>
          <w:bCs/>
          <w:sz w:val="44"/>
          <w:szCs w:val="44"/>
        </w:rPr>
        <w:t>“济宁市</w:t>
      </w:r>
      <w:r>
        <w:rPr>
          <w:rFonts w:hint="eastAsia" w:ascii="方正小标宋简体" w:hAnsi="Times New Roman" w:eastAsia="方正小标宋简体" w:cs="方正小标宋简体"/>
          <w:b/>
          <w:bCs/>
          <w:sz w:val="44"/>
          <w:szCs w:val="44"/>
          <w:lang w:eastAsia="zh-CN"/>
        </w:rPr>
        <w:t>第二批</w:t>
      </w:r>
      <w:r>
        <w:rPr>
          <w:rFonts w:hint="eastAsia" w:ascii="方正小标宋简体" w:hAnsi="Times New Roman" w:eastAsia="方正小标宋简体" w:cs="方正小标宋简体"/>
          <w:b/>
          <w:bCs/>
          <w:sz w:val="44"/>
          <w:szCs w:val="44"/>
        </w:rPr>
        <w:t>中小学创客空间示范校”</w:t>
      </w:r>
    </w:p>
    <w:p>
      <w:pPr>
        <w:spacing w:before="249" w:beforeLines="80" w:after="249" w:afterLines="80" w:line="560" w:lineRule="exact"/>
        <w:ind w:left="-718" w:leftChars="-342" w:right="-687" w:rightChars="-327"/>
        <w:jc w:val="center"/>
        <w:rPr>
          <w:rFonts w:ascii="方正小标宋简体" w:hAnsi="Times New Roman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Times New Roman" w:eastAsia="方正小标宋简体" w:cs="方正小标宋简体"/>
          <w:b/>
          <w:bCs/>
          <w:sz w:val="44"/>
          <w:szCs w:val="44"/>
        </w:rPr>
        <w:t>评估验收细则</w:t>
      </w:r>
    </w:p>
    <w:tbl>
      <w:tblPr>
        <w:tblStyle w:val="6"/>
        <w:tblW w:w="101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7"/>
        <w:gridCol w:w="568"/>
        <w:gridCol w:w="5528"/>
        <w:gridCol w:w="2126"/>
        <w:gridCol w:w="567"/>
        <w:gridCol w:w="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7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6096" w:type="dxa"/>
            <w:gridSpan w:val="2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</w:rPr>
              <w:t>标准要求及内容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</w:rPr>
              <w:t>验收要求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</w:rPr>
              <w:t>分值</w:t>
            </w:r>
          </w:p>
        </w:tc>
        <w:tc>
          <w:tcPr>
            <w:tcW w:w="5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</w:rPr>
              <w:t>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3" w:hRule="atLeast"/>
          <w:jc w:val="center"/>
        </w:trPr>
        <w:tc>
          <w:tcPr>
            <w:tcW w:w="787" w:type="dxa"/>
            <w:vMerge w:val="restart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组织领导与管理</w:t>
            </w:r>
          </w:p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10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分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6096" w:type="dxa"/>
            <w:gridSpan w:val="2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成立由校领导任组长的领导小组，并将“创客空间示范校”创建工作纳入学校议事日程。</w:t>
            </w:r>
          </w:p>
        </w:tc>
        <w:tc>
          <w:tcPr>
            <w:tcW w:w="2126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提供有关文件和会议原始记录档案。</w:t>
            </w:r>
          </w:p>
        </w:tc>
        <w:tc>
          <w:tcPr>
            <w:tcW w:w="567" w:type="dxa"/>
            <w:vAlign w:val="center"/>
          </w:tcPr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594" w:type="dxa"/>
            <w:vAlign w:val="center"/>
          </w:tcPr>
          <w:p>
            <w:pPr>
              <w:spacing w:line="460" w:lineRule="exact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1" w:hRule="atLeast"/>
          <w:jc w:val="center"/>
        </w:trPr>
        <w:tc>
          <w:tcPr>
            <w:tcW w:w="787" w:type="dxa"/>
            <w:vMerge w:val="continue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制定“创客空间示范校”建设规划和工作计划。每学期有建设与应用工作总结。</w:t>
            </w:r>
          </w:p>
        </w:tc>
        <w:tc>
          <w:tcPr>
            <w:tcW w:w="2126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提供相关材料。</w:t>
            </w:r>
          </w:p>
        </w:tc>
        <w:tc>
          <w:tcPr>
            <w:tcW w:w="567" w:type="dxa"/>
            <w:vAlign w:val="center"/>
          </w:tcPr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594" w:type="dxa"/>
            <w:vAlign w:val="center"/>
          </w:tcPr>
          <w:p>
            <w:pPr>
              <w:spacing w:line="460" w:lineRule="exact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4" w:hRule="atLeast"/>
          <w:jc w:val="center"/>
        </w:trPr>
        <w:tc>
          <w:tcPr>
            <w:tcW w:w="787" w:type="dxa"/>
            <w:vMerge w:val="continue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制定“创客空间示范校”建设与应用系列规章制度，须有对获奖师生的表彰及奖励措施。</w:t>
            </w:r>
          </w:p>
        </w:tc>
        <w:tc>
          <w:tcPr>
            <w:tcW w:w="2126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提供相关材料。</w:t>
            </w:r>
          </w:p>
        </w:tc>
        <w:tc>
          <w:tcPr>
            <w:tcW w:w="567" w:type="dxa"/>
            <w:vAlign w:val="center"/>
          </w:tcPr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594" w:type="dxa"/>
            <w:vAlign w:val="center"/>
          </w:tcPr>
          <w:p>
            <w:pPr>
              <w:spacing w:line="460" w:lineRule="exact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5" w:hRule="atLeast"/>
          <w:jc w:val="center"/>
        </w:trPr>
        <w:tc>
          <w:tcPr>
            <w:tcW w:w="787" w:type="dxa"/>
            <w:vMerge w:val="continue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学校能提供足够的资金支持，满足创客空间建设、活动开展、教师培训及参加各类比赛活动要求。</w:t>
            </w:r>
          </w:p>
        </w:tc>
        <w:tc>
          <w:tcPr>
            <w:tcW w:w="2126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提供费用清单，抽查财务凭证。</w:t>
            </w:r>
          </w:p>
        </w:tc>
        <w:tc>
          <w:tcPr>
            <w:tcW w:w="567" w:type="dxa"/>
            <w:vAlign w:val="center"/>
          </w:tcPr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594" w:type="dxa"/>
            <w:vAlign w:val="center"/>
          </w:tcPr>
          <w:p>
            <w:pPr>
              <w:spacing w:line="460" w:lineRule="exact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787" w:type="dxa"/>
            <w:vMerge w:val="restart"/>
            <w:vAlign w:val="center"/>
          </w:tcPr>
          <w:p>
            <w:pPr>
              <w:spacing w:line="460" w:lineRule="exact"/>
              <w:jc w:val="center"/>
              <w:rPr>
                <w:rFonts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创客</w:t>
            </w:r>
          </w:p>
          <w:p>
            <w:pPr>
              <w:spacing w:line="460" w:lineRule="exact"/>
              <w:jc w:val="center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队伍</w:t>
            </w:r>
          </w:p>
          <w:p>
            <w:pPr>
              <w:spacing w:line="460" w:lineRule="exact"/>
              <w:jc w:val="center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10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分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6096" w:type="dxa"/>
            <w:gridSpan w:val="2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配备专（兼）职创客教师。每配备一名专职教师得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2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分，配备一名兼职教师得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分，最高得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3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分。</w:t>
            </w:r>
          </w:p>
        </w:tc>
        <w:tc>
          <w:tcPr>
            <w:tcW w:w="2126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提供有关材料，查看教师证件。</w:t>
            </w:r>
          </w:p>
        </w:tc>
        <w:tc>
          <w:tcPr>
            <w:tcW w:w="567" w:type="dxa"/>
            <w:vAlign w:val="center"/>
          </w:tcPr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594" w:type="dxa"/>
            <w:vAlign w:val="center"/>
          </w:tcPr>
          <w:p>
            <w:pPr>
              <w:spacing w:line="460" w:lineRule="exact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1" w:hRule="atLeast"/>
          <w:jc w:val="center"/>
        </w:trPr>
        <w:tc>
          <w:tcPr>
            <w:tcW w:w="787" w:type="dxa"/>
            <w:vMerge w:val="continue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学校重视创客教师队伍建设，鼓励各类指导教师参加上级业务部门组织的培训。参加国家、省、市级主管部门组织的业务培训每人次分别得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4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、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3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、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2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分。国家、省和市级裁判执裁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次有关创客评选活动，分别得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3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、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2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、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分。</w:t>
            </w:r>
          </w:p>
        </w:tc>
        <w:tc>
          <w:tcPr>
            <w:tcW w:w="2126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提供每次培训的时间、地点、组织单位、指导教师证书和裁判员聘任证书等相关材料。</w:t>
            </w:r>
          </w:p>
        </w:tc>
        <w:tc>
          <w:tcPr>
            <w:tcW w:w="567" w:type="dxa"/>
            <w:vAlign w:val="center"/>
          </w:tcPr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594" w:type="dxa"/>
          </w:tcPr>
          <w:p>
            <w:pPr>
              <w:spacing w:line="460" w:lineRule="exact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9" w:hRule="atLeast"/>
          <w:jc w:val="center"/>
        </w:trPr>
        <w:tc>
          <w:tcPr>
            <w:tcW w:w="787" w:type="dxa"/>
            <w:vMerge w:val="restart"/>
            <w:vAlign w:val="center"/>
          </w:tcPr>
          <w:p>
            <w:pPr>
              <w:spacing w:line="460" w:lineRule="exact"/>
              <w:jc w:val="center"/>
              <w:rPr>
                <w:rFonts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创客</w:t>
            </w:r>
          </w:p>
          <w:p>
            <w:pPr>
              <w:spacing w:line="460" w:lineRule="exact"/>
              <w:jc w:val="center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教研</w:t>
            </w:r>
          </w:p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10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分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6096" w:type="dxa"/>
            <w:gridSpan w:val="2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依托学校创客空间，开设面向全体学生的创客校本课程；设立创客活动兴趣小组，定期开展各项活动。在创客备课、课堂教学、竞赛活动开展等方面形成自己的办学特色。</w:t>
            </w:r>
          </w:p>
        </w:tc>
        <w:tc>
          <w:tcPr>
            <w:tcW w:w="2126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提供课程表、备课本、学生作业（作品）等。</w:t>
            </w:r>
          </w:p>
        </w:tc>
        <w:tc>
          <w:tcPr>
            <w:tcW w:w="567" w:type="dxa"/>
            <w:vAlign w:val="center"/>
          </w:tcPr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594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  <w:jc w:val="center"/>
        </w:trPr>
        <w:tc>
          <w:tcPr>
            <w:tcW w:w="787" w:type="dxa"/>
            <w:vMerge w:val="continue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开展常规性创客教育教研活动，参加全市组织的中小学创客教育课题研究。</w:t>
            </w:r>
          </w:p>
        </w:tc>
        <w:tc>
          <w:tcPr>
            <w:tcW w:w="2126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提供相关材料，立项并开展课题研究。</w:t>
            </w:r>
          </w:p>
        </w:tc>
        <w:tc>
          <w:tcPr>
            <w:tcW w:w="567" w:type="dxa"/>
            <w:vAlign w:val="center"/>
          </w:tcPr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594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5" w:hRule="atLeast"/>
          <w:jc w:val="center"/>
        </w:trPr>
        <w:tc>
          <w:tcPr>
            <w:tcW w:w="787" w:type="dxa"/>
            <w:vAlign w:val="center"/>
          </w:tcPr>
          <w:p>
            <w:pPr>
              <w:spacing w:line="460" w:lineRule="exact"/>
              <w:jc w:val="center"/>
              <w:rPr>
                <w:rFonts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活动</w:t>
            </w:r>
          </w:p>
          <w:p>
            <w:pPr>
              <w:spacing w:line="460" w:lineRule="exact"/>
              <w:jc w:val="center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成果</w:t>
            </w:r>
          </w:p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10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分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6096" w:type="dxa"/>
            <w:gridSpan w:val="2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参加各级教育部门组织的创客比赛，获国家、省、市级奖的每件分别得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10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、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8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、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6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分。</w:t>
            </w:r>
          </w:p>
        </w:tc>
        <w:tc>
          <w:tcPr>
            <w:tcW w:w="2126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提供比赛相关材料，提供论文、获奖证书复印件及有关奖牌。</w:t>
            </w:r>
          </w:p>
        </w:tc>
        <w:tc>
          <w:tcPr>
            <w:tcW w:w="567" w:type="dxa"/>
            <w:vAlign w:val="center"/>
          </w:tcPr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594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9" w:hRule="atLeast"/>
          <w:jc w:val="center"/>
        </w:trPr>
        <w:tc>
          <w:tcPr>
            <w:tcW w:w="787" w:type="dxa"/>
            <w:vMerge w:val="restart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软硬件建设</w:t>
            </w:r>
          </w:p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60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分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568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电脑</w:t>
            </w:r>
          </w:p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设计</w:t>
            </w:r>
          </w:p>
        </w:tc>
        <w:tc>
          <w:tcPr>
            <w:tcW w:w="5528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包含电脑制作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5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分、程序设计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4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分、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3D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创意设计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5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分和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VR/AR4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分。配置要求：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1.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用房面积应满足创客活动需要。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2.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满足活动需要的相关电脑、软件、书籍、工作台、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3D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打印机、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3D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扫描仪、虚拟现实显示设备、摄像机、多媒体展示设备等。</w:t>
            </w:r>
          </w:p>
        </w:tc>
        <w:tc>
          <w:tcPr>
            <w:tcW w:w="2126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提供有关帐目，现场查看账目和软硬件设施。</w:t>
            </w:r>
          </w:p>
        </w:tc>
        <w:tc>
          <w:tcPr>
            <w:tcW w:w="567" w:type="dxa"/>
            <w:vAlign w:val="center"/>
          </w:tcPr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18</w:t>
            </w:r>
          </w:p>
        </w:tc>
        <w:tc>
          <w:tcPr>
            <w:tcW w:w="594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0" w:hRule="atLeast"/>
          <w:jc w:val="center"/>
        </w:trPr>
        <w:tc>
          <w:tcPr>
            <w:tcW w:w="787" w:type="dxa"/>
            <w:vMerge w:val="continue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人工</w:t>
            </w:r>
          </w:p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智能</w:t>
            </w:r>
          </w:p>
        </w:tc>
        <w:tc>
          <w:tcPr>
            <w:tcW w:w="5528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包含机器人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8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分和无人机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8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分。配置要求：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1.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用房面积应满足创客活动需要。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2.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书籍、创意机器人学习套件、机器人套装、无人机套装、工作台、竞赛场地和附属装备、电脑、多媒体展示设备等。</w:t>
            </w:r>
          </w:p>
        </w:tc>
        <w:tc>
          <w:tcPr>
            <w:tcW w:w="2126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提供有关帐目，现场查看账目和软硬件设施。</w:t>
            </w:r>
          </w:p>
        </w:tc>
        <w:tc>
          <w:tcPr>
            <w:tcW w:w="567" w:type="dxa"/>
            <w:vAlign w:val="center"/>
          </w:tcPr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16</w:t>
            </w:r>
          </w:p>
        </w:tc>
        <w:tc>
          <w:tcPr>
            <w:tcW w:w="594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0" w:hRule="atLeast"/>
          <w:jc w:val="center"/>
        </w:trPr>
        <w:tc>
          <w:tcPr>
            <w:tcW w:w="787" w:type="dxa"/>
            <w:vMerge w:val="continue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创意</w:t>
            </w:r>
          </w:p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制作</w:t>
            </w:r>
          </w:p>
        </w:tc>
        <w:tc>
          <w:tcPr>
            <w:tcW w:w="5528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包含创意智造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9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分、三模一电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5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分和手工创作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4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分。（一）创意智造配置要求：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1.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用房面积应满足创客活动需要。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2.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各类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Arduino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学习套件、互动媒体技术学习套件、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Scratch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测控板、小型焊台、传感器套件、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3D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打印机、激光雕刻、激光切割、焊接、多功能电钻、多用锯套装、数字示波器、实验室工具套装、电脑、防静电工作台、创客书籍、多媒体展示设备等。</w:t>
            </w:r>
          </w:p>
          <w:p>
            <w:pPr>
              <w:spacing w:line="460" w:lineRule="exact"/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（二）三模一电配置要求：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1.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用房面积应满足创客活动需要。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2.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书籍、工具箱、工作台、多媒体演示设备，橡筋动力模型、手掷模型飞机、火箭模型、弹射留空模型、直线竞速模型、水上任务模型等套材，无线电测向机、发射机等无线电测向套材等。</w:t>
            </w:r>
          </w:p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（三）手工创作配置要求：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1.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用房面积应满足学生创客活动需要。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2.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书籍、原料、工具、工作台、展示柜、多媒体演示设备等。</w:t>
            </w:r>
          </w:p>
        </w:tc>
        <w:tc>
          <w:tcPr>
            <w:tcW w:w="2126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提供有关帐目，现场查看账目和软硬件设施。</w:t>
            </w:r>
          </w:p>
        </w:tc>
        <w:tc>
          <w:tcPr>
            <w:tcW w:w="567" w:type="dxa"/>
            <w:vAlign w:val="center"/>
          </w:tcPr>
          <w:p>
            <w:pPr>
              <w:spacing w:line="460" w:lineRule="exact"/>
              <w:jc w:val="center"/>
              <w:rPr>
                <w:rFonts w:ascii="仿宋_GB2312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18</w:t>
            </w:r>
          </w:p>
        </w:tc>
        <w:tc>
          <w:tcPr>
            <w:tcW w:w="594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0" w:hRule="atLeast"/>
          <w:jc w:val="center"/>
        </w:trPr>
        <w:tc>
          <w:tcPr>
            <w:tcW w:w="787" w:type="dxa"/>
            <w:vMerge w:val="continue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影视</w:t>
            </w:r>
          </w:p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创作</w:t>
            </w:r>
          </w:p>
        </w:tc>
        <w:tc>
          <w:tcPr>
            <w:tcW w:w="5528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包含微视频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5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分和电视专题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3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分。配置要求：具备演播室（≥</w:t>
            </w:r>
            <w:r>
              <w:rPr>
                <w:rFonts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40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㎡</w:t>
            </w: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），拾音设备、高清摄像机、高性能计算机、混音器、非线编。可选三维虚拟演播室、字幕机、提词器等。</w:t>
            </w:r>
          </w:p>
        </w:tc>
        <w:tc>
          <w:tcPr>
            <w:tcW w:w="2126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提供有关帐目，现场查看账目和软硬件设施。</w:t>
            </w:r>
          </w:p>
        </w:tc>
        <w:tc>
          <w:tcPr>
            <w:tcW w:w="567" w:type="dxa"/>
            <w:vAlign w:val="center"/>
          </w:tcPr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594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787" w:type="dxa"/>
            <w:vAlign w:val="center"/>
          </w:tcPr>
          <w:p>
            <w:pPr>
              <w:spacing w:line="460" w:lineRule="exact"/>
              <w:jc w:val="center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合计</w:t>
            </w:r>
          </w:p>
        </w:tc>
        <w:tc>
          <w:tcPr>
            <w:tcW w:w="6096" w:type="dxa"/>
            <w:gridSpan w:val="2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2126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567" w:type="dxa"/>
            <w:vAlign w:val="center"/>
          </w:tcPr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100</w:t>
            </w:r>
          </w:p>
        </w:tc>
        <w:tc>
          <w:tcPr>
            <w:tcW w:w="594" w:type="dxa"/>
            <w:vAlign w:val="center"/>
          </w:tcPr>
          <w:p>
            <w:pPr>
              <w:spacing w:line="460" w:lineRule="exact"/>
              <w:rPr>
                <w:rFonts w:ascii="仿宋_GB2312" w:hAnsi="仿宋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</w:tr>
    </w:tbl>
    <w:p>
      <w:pPr>
        <w:spacing w:line="460" w:lineRule="exact"/>
        <w:ind w:left="-359" w:leftChars="-171"/>
        <w:rPr>
          <w:rFonts w:hint="eastAsia" w:ascii="仿宋_GB2312" w:hAnsi="仿宋" w:eastAsia="仿宋_GB2312" w:cs="仿宋_GB2312"/>
          <w:b/>
          <w:bCs/>
          <w:kern w:val="0"/>
          <w:sz w:val="24"/>
          <w:szCs w:val="24"/>
        </w:rPr>
      </w:pPr>
      <w:r>
        <w:rPr>
          <w:rFonts w:hint="eastAsia" w:ascii="仿宋_GB2312" w:hAnsi="仿宋" w:eastAsia="仿宋_GB2312" w:cs="仿宋_GB2312"/>
          <w:b/>
          <w:bCs/>
          <w:kern w:val="0"/>
          <w:sz w:val="24"/>
          <w:szCs w:val="24"/>
        </w:rPr>
        <w:t>备注：评估分数在</w:t>
      </w:r>
      <w:r>
        <w:rPr>
          <w:rFonts w:ascii="Times New Roman" w:hAnsi="Times New Roman" w:eastAsia="仿宋_GB2312" w:cs="Times New Roman"/>
          <w:b/>
          <w:bCs/>
          <w:color w:val="000000"/>
          <w:sz w:val="24"/>
          <w:szCs w:val="24"/>
          <w:shd w:val="clear" w:color="auto" w:fill="FFFFFF"/>
        </w:rPr>
        <w:t>80</w:t>
      </w:r>
      <w:r>
        <w:rPr>
          <w:rFonts w:hint="eastAsia" w:ascii="仿宋_GB2312" w:hAnsi="仿宋" w:eastAsia="仿宋_GB2312" w:cs="仿宋_GB2312"/>
          <w:b/>
          <w:bCs/>
          <w:kern w:val="0"/>
          <w:sz w:val="24"/>
          <w:szCs w:val="24"/>
        </w:rPr>
        <w:t>分以上者，认定为合格。</w:t>
      </w:r>
    </w:p>
    <w:p>
      <w:pPr>
        <w:spacing w:line="460" w:lineRule="exact"/>
        <w:ind w:left="-359" w:leftChars="-171"/>
        <w:rPr>
          <w:rFonts w:hint="eastAsia" w:ascii="仿宋_GB2312" w:hAnsi="仿宋" w:eastAsia="仿宋_GB2312" w:cs="仿宋_GB2312"/>
          <w:b/>
          <w:bCs/>
          <w:kern w:val="0"/>
          <w:sz w:val="24"/>
          <w:szCs w:val="24"/>
        </w:rPr>
      </w:pPr>
    </w:p>
    <w:p>
      <w:pPr>
        <w:spacing w:line="600" w:lineRule="exact"/>
        <w:jc w:val="left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2：</w:t>
      </w:r>
    </w:p>
    <w:p>
      <w:pPr>
        <w:spacing w:before="249" w:beforeLines="80" w:after="249" w:afterLines="80" w:line="560" w:lineRule="exact"/>
        <w:ind w:left="-718" w:leftChars="-342" w:right="-687" w:rightChars="-327"/>
        <w:jc w:val="center"/>
        <w:rPr>
          <w:rFonts w:hint="eastAsia" w:ascii="方正小标宋简体" w:hAnsi="Times New Roman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方正小标宋简体"/>
          <w:b/>
          <w:bCs/>
          <w:sz w:val="44"/>
          <w:szCs w:val="44"/>
          <w:lang w:eastAsia="zh-CN"/>
        </w:rPr>
        <w:t>县市区初评汇总表</w:t>
      </w:r>
    </w:p>
    <w:tbl>
      <w:tblPr>
        <w:tblStyle w:val="7"/>
        <w:tblW w:w="80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2385"/>
        <w:gridCol w:w="3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217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  <w:t>县市区</w:t>
            </w:r>
          </w:p>
        </w:tc>
        <w:tc>
          <w:tcPr>
            <w:tcW w:w="2385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  <w:t>学校名称</w:t>
            </w:r>
          </w:p>
        </w:tc>
        <w:tc>
          <w:tcPr>
            <w:tcW w:w="3420" w:type="dxa"/>
            <w:vAlign w:val="top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  <w:t>县市区初评（分）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7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85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20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7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85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20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7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85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20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7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85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20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7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85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20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7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85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20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7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85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20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7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85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20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7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85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20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7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85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20" w:type="dxa"/>
          </w:tcPr>
          <w:p>
            <w:pPr>
              <w:spacing w:before="249" w:beforeLines="80" w:after="249" w:afterLines="80" w:line="560" w:lineRule="exact"/>
              <w:ind w:right="-687" w:rightChars="-327"/>
              <w:jc w:val="both"/>
              <w:rPr>
                <w:rFonts w:hint="default" w:ascii="方正小标宋简体" w:hAnsi="Times New Roman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spacing w:before="249" w:beforeLines="80" w:after="249" w:afterLines="80" w:line="560" w:lineRule="exact"/>
        <w:ind w:right="-687" w:rightChars="-327"/>
        <w:jc w:val="both"/>
        <w:rPr>
          <w:rFonts w:hint="default" w:ascii="方正小标宋简体" w:hAnsi="Times New Roman" w:eastAsia="方正小标宋简体" w:cs="方正小标宋简体"/>
          <w:b/>
          <w:bCs/>
          <w:sz w:val="44"/>
          <w:szCs w:val="44"/>
          <w:lang w:val="en-US" w:eastAsia="zh-CN"/>
        </w:rPr>
      </w:pPr>
    </w:p>
    <w:sectPr>
      <w:footerReference r:id="rId3" w:type="default"/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大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uto" w:vAnchor="text" w:hAnchor="margin" w:xAlign="center" w:y="1"/>
      <w:rPr>
        <w:rStyle w:val="9"/>
        <w:rFonts w:cs="Times New Roman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3</w:t>
    </w:r>
    <w:r>
      <w:rPr>
        <w:rStyle w:val="9"/>
      </w:rPr>
      <w:fldChar w:fldCharType="end"/>
    </w:r>
  </w:p>
  <w:p>
    <w:pPr>
      <w:pStyle w:val="4"/>
      <w:rPr>
        <w:rFonts w:cs="Times New Roman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FE1A43"/>
    <w:multiLevelType w:val="singleLevel"/>
    <w:tmpl w:val="45FE1A43"/>
    <w:lvl w:ilvl="0" w:tentative="0">
      <w:start w:val="1"/>
      <w:numFmt w:val="decimal"/>
      <w:suff w:val="nothing"/>
      <w:lvlText w:val="%1、"/>
      <w:lvlJc w:val="left"/>
      <w:pPr>
        <w:ind w:left="86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3FC"/>
    <w:rsid w:val="00007472"/>
    <w:rsid w:val="00011F7F"/>
    <w:rsid w:val="00012D93"/>
    <w:rsid w:val="00017CFD"/>
    <w:rsid w:val="00046E9C"/>
    <w:rsid w:val="000510C7"/>
    <w:rsid w:val="00072DA0"/>
    <w:rsid w:val="000A7AF6"/>
    <w:rsid w:val="000C26CB"/>
    <w:rsid w:val="000C5A42"/>
    <w:rsid w:val="000E41F1"/>
    <w:rsid w:val="0010223E"/>
    <w:rsid w:val="00104315"/>
    <w:rsid w:val="00134C9A"/>
    <w:rsid w:val="0013651D"/>
    <w:rsid w:val="00142242"/>
    <w:rsid w:val="00173936"/>
    <w:rsid w:val="00175A80"/>
    <w:rsid w:val="001846EE"/>
    <w:rsid w:val="00187C82"/>
    <w:rsid w:val="0019315E"/>
    <w:rsid w:val="001C2F5B"/>
    <w:rsid w:val="001E753D"/>
    <w:rsid w:val="001F33FC"/>
    <w:rsid w:val="0023413A"/>
    <w:rsid w:val="00243350"/>
    <w:rsid w:val="0025018C"/>
    <w:rsid w:val="00252799"/>
    <w:rsid w:val="00263AD4"/>
    <w:rsid w:val="00272392"/>
    <w:rsid w:val="00274A71"/>
    <w:rsid w:val="00274BA7"/>
    <w:rsid w:val="002842D5"/>
    <w:rsid w:val="00285B1E"/>
    <w:rsid w:val="0028737F"/>
    <w:rsid w:val="002877DA"/>
    <w:rsid w:val="002A23E5"/>
    <w:rsid w:val="002C04F5"/>
    <w:rsid w:val="002D22A1"/>
    <w:rsid w:val="002D62C5"/>
    <w:rsid w:val="002F2383"/>
    <w:rsid w:val="002F6D6A"/>
    <w:rsid w:val="00320188"/>
    <w:rsid w:val="00326A57"/>
    <w:rsid w:val="00334D98"/>
    <w:rsid w:val="00357422"/>
    <w:rsid w:val="003616CE"/>
    <w:rsid w:val="00395387"/>
    <w:rsid w:val="00397CEA"/>
    <w:rsid w:val="003E4288"/>
    <w:rsid w:val="0041502B"/>
    <w:rsid w:val="00415E54"/>
    <w:rsid w:val="00415E6E"/>
    <w:rsid w:val="00416464"/>
    <w:rsid w:val="00423185"/>
    <w:rsid w:val="00427099"/>
    <w:rsid w:val="004350D9"/>
    <w:rsid w:val="00460C32"/>
    <w:rsid w:val="00463713"/>
    <w:rsid w:val="004957E3"/>
    <w:rsid w:val="004A1D5D"/>
    <w:rsid w:val="004A25E8"/>
    <w:rsid w:val="004A3FA1"/>
    <w:rsid w:val="004C44E0"/>
    <w:rsid w:val="004C60D4"/>
    <w:rsid w:val="004D3521"/>
    <w:rsid w:val="004E2EA4"/>
    <w:rsid w:val="005047F4"/>
    <w:rsid w:val="00506D38"/>
    <w:rsid w:val="00513906"/>
    <w:rsid w:val="00516105"/>
    <w:rsid w:val="00536EAA"/>
    <w:rsid w:val="00543189"/>
    <w:rsid w:val="00565DBB"/>
    <w:rsid w:val="005712E2"/>
    <w:rsid w:val="00575295"/>
    <w:rsid w:val="005878F6"/>
    <w:rsid w:val="00587BC3"/>
    <w:rsid w:val="00593676"/>
    <w:rsid w:val="005A6637"/>
    <w:rsid w:val="005C50A4"/>
    <w:rsid w:val="005D6478"/>
    <w:rsid w:val="005E54DA"/>
    <w:rsid w:val="005F6923"/>
    <w:rsid w:val="00624ACB"/>
    <w:rsid w:val="00630990"/>
    <w:rsid w:val="00635244"/>
    <w:rsid w:val="00640DCC"/>
    <w:rsid w:val="0064142A"/>
    <w:rsid w:val="006F065F"/>
    <w:rsid w:val="00707615"/>
    <w:rsid w:val="00715066"/>
    <w:rsid w:val="007167E2"/>
    <w:rsid w:val="007310E7"/>
    <w:rsid w:val="007337A1"/>
    <w:rsid w:val="00744B7A"/>
    <w:rsid w:val="00747FB5"/>
    <w:rsid w:val="00762D42"/>
    <w:rsid w:val="0079279A"/>
    <w:rsid w:val="007A00CA"/>
    <w:rsid w:val="007B7EE9"/>
    <w:rsid w:val="007C0A9F"/>
    <w:rsid w:val="007E0639"/>
    <w:rsid w:val="007E4109"/>
    <w:rsid w:val="0080367C"/>
    <w:rsid w:val="008234C3"/>
    <w:rsid w:val="008252FB"/>
    <w:rsid w:val="00826FD3"/>
    <w:rsid w:val="00831111"/>
    <w:rsid w:val="00833046"/>
    <w:rsid w:val="00834D7F"/>
    <w:rsid w:val="00862015"/>
    <w:rsid w:val="0087353E"/>
    <w:rsid w:val="00875FDF"/>
    <w:rsid w:val="008D0876"/>
    <w:rsid w:val="008D11E6"/>
    <w:rsid w:val="008D5581"/>
    <w:rsid w:val="008E2A1E"/>
    <w:rsid w:val="008E4BCA"/>
    <w:rsid w:val="008E7157"/>
    <w:rsid w:val="00907933"/>
    <w:rsid w:val="009223C0"/>
    <w:rsid w:val="0094364A"/>
    <w:rsid w:val="00960CA3"/>
    <w:rsid w:val="00983568"/>
    <w:rsid w:val="009936FE"/>
    <w:rsid w:val="00995E41"/>
    <w:rsid w:val="009A720D"/>
    <w:rsid w:val="009C09B4"/>
    <w:rsid w:val="009C1ED5"/>
    <w:rsid w:val="009C2027"/>
    <w:rsid w:val="009E6658"/>
    <w:rsid w:val="009F5356"/>
    <w:rsid w:val="00A26126"/>
    <w:rsid w:val="00A41E98"/>
    <w:rsid w:val="00A5384B"/>
    <w:rsid w:val="00A67E3E"/>
    <w:rsid w:val="00A861F0"/>
    <w:rsid w:val="00AA3454"/>
    <w:rsid w:val="00AA56F9"/>
    <w:rsid w:val="00AB578A"/>
    <w:rsid w:val="00AC0102"/>
    <w:rsid w:val="00AD04B6"/>
    <w:rsid w:val="00AF1BC4"/>
    <w:rsid w:val="00B37174"/>
    <w:rsid w:val="00B4313B"/>
    <w:rsid w:val="00B47559"/>
    <w:rsid w:val="00B564B2"/>
    <w:rsid w:val="00B735B6"/>
    <w:rsid w:val="00B9794E"/>
    <w:rsid w:val="00BA35E0"/>
    <w:rsid w:val="00BD4B06"/>
    <w:rsid w:val="00BD6F8F"/>
    <w:rsid w:val="00BE3237"/>
    <w:rsid w:val="00C05586"/>
    <w:rsid w:val="00C50FEB"/>
    <w:rsid w:val="00C65BE8"/>
    <w:rsid w:val="00C81F01"/>
    <w:rsid w:val="00C84BFB"/>
    <w:rsid w:val="00C87DAB"/>
    <w:rsid w:val="00CB246C"/>
    <w:rsid w:val="00CC2D12"/>
    <w:rsid w:val="00CD43B8"/>
    <w:rsid w:val="00CE0463"/>
    <w:rsid w:val="00CE68B2"/>
    <w:rsid w:val="00CE6CA4"/>
    <w:rsid w:val="00D14A7A"/>
    <w:rsid w:val="00D20986"/>
    <w:rsid w:val="00D35A3A"/>
    <w:rsid w:val="00D43DA7"/>
    <w:rsid w:val="00D7453E"/>
    <w:rsid w:val="00D852FB"/>
    <w:rsid w:val="00D87D3D"/>
    <w:rsid w:val="00DD377A"/>
    <w:rsid w:val="00DD6143"/>
    <w:rsid w:val="00DE1BDF"/>
    <w:rsid w:val="00DE5EA3"/>
    <w:rsid w:val="00DF1279"/>
    <w:rsid w:val="00E020FD"/>
    <w:rsid w:val="00E02FD4"/>
    <w:rsid w:val="00E13361"/>
    <w:rsid w:val="00E20388"/>
    <w:rsid w:val="00E20CE6"/>
    <w:rsid w:val="00E21F6E"/>
    <w:rsid w:val="00E278F5"/>
    <w:rsid w:val="00E37772"/>
    <w:rsid w:val="00E45E53"/>
    <w:rsid w:val="00E474C9"/>
    <w:rsid w:val="00E554F7"/>
    <w:rsid w:val="00E6387F"/>
    <w:rsid w:val="00E777CF"/>
    <w:rsid w:val="00E82397"/>
    <w:rsid w:val="00EE6976"/>
    <w:rsid w:val="00EE7300"/>
    <w:rsid w:val="00F27689"/>
    <w:rsid w:val="00F400A6"/>
    <w:rsid w:val="00F4404B"/>
    <w:rsid w:val="00F812E1"/>
    <w:rsid w:val="00F84091"/>
    <w:rsid w:val="00FA34D6"/>
    <w:rsid w:val="00FC26F6"/>
    <w:rsid w:val="00FC3170"/>
    <w:rsid w:val="00FE5085"/>
    <w:rsid w:val="02A3332C"/>
    <w:rsid w:val="07633087"/>
    <w:rsid w:val="0D955D62"/>
    <w:rsid w:val="0F5D4EB0"/>
    <w:rsid w:val="13781031"/>
    <w:rsid w:val="1BC45145"/>
    <w:rsid w:val="231C7A65"/>
    <w:rsid w:val="25AF36E6"/>
    <w:rsid w:val="2AA60FB9"/>
    <w:rsid w:val="2DA77546"/>
    <w:rsid w:val="2E0F2C88"/>
    <w:rsid w:val="332D758D"/>
    <w:rsid w:val="33607027"/>
    <w:rsid w:val="41A6235D"/>
    <w:rsid w:val="48A82EE4"/>
    <w:rsid w:val="4A27385C"/>
    <w:rsid w:val="50B14A87"/>
    <w:rsid w:val="55376246"/>
    <w:rsid w:val="58E279F6"/>
    <w:rsid w:val="63BA05AB"/>
    <w:rsid w:val="67BB0278"/>
    <w:rsid w:val="6A340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iPriority w:val="99"/>
    <w:rPr>
      <w:kern w:val="0"/>
      <w:sz w:val="18"/>
      <w:szCs w:val="18"/>
    </w:rPr>
  </w:style>
  <w:style w:type="paragraph" w:styleId="4">
    <w:name w:val="footer"/>
    <w:basedOn w:val="1"/>
    <w:link w:val="11"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table" w:styleId="7">
    <w:name w:val="Table Grid"/>
    <w:basedOn w:val="6"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uiPriority w:val="99"/>
  </w:style>
  <w:style w:type="character" w:customStyle="1" w:styleId="10">
    <w:name w:val="页眉 Char"/>
    <w:basedOn w:val="8"/>
    <w:link w:val="5"/>
    <w:qFormat/>
    <w:locked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locked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locked/>
    <w:uiPriority w:val="99"/>
    <w:rPr>
      <w:sz w:val="18"/>
      <w:szCs w:val="18"/>
    </w:rPr>
  </w:style>
  <w:style w:type="character" w:customStyle="1" w:styleId="13">
    <w:name w:val="日期 Char"/>
    <w:basedOn w:val="8"/>
    <w:link w:val="2"/>
    <w:semiHidden/>
    <w:qFormat/>
    <w:locked/>
    <w:uiPriority w:val="99"/>
    <w:rPr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2155</Words>
  <Characters>2229</Characters>
  <Lines>17</Lines>
  <Paragraphs>4</Paragraphs>
  <TotalTime>1</TotalTime>
  <ScaleCrop>false</ScaleCrop>
  <LinksUpToDate>false</LinksUpToDate>
  <CharactersWithSpaces>2289</CharactersWithSpaces>
  <Application>WPS Office_11.1.0.9991_F1E327BC-269C-435d-A152-05C5408002CA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2019-10-21T08:33:00Z</dcterms:created>
  <dc:creator>Administrator</dc:creator>
  <cp:lastModifiedBy>Administrator</cp:lastModifiedBy>
  <cp:lastPrinted>2020-10-23T01:51:00Z</cp:lastPrinted>
  <dcterms:modified xsi:type="dcterms:W3CDTF">2020-10-23T03:20:55Z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2052-11.1.0.9991</vt:lpwstr>
  </property>
</Properties>
</file>